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238A5" w14:textId="650DEA2F" w:rsidR="009F4297" w:rsidRDefault="009F4297" w:rsidP="009F4297">
      <w:pPr>
        <w:spacing w:before="12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0172E">
        <w:rPr>
          <w:rFonts w:ascii="Arial" w:hAnsi="Arial" w:cs="Arial"/>
          <w:b/>
          <w:color w:val="FF0000"/>
          <w:sz w:val="28"/>
          <w:szCs w:val="28"/>
        </w:rPr>
        <w:t>САМЫЕ ВАЖНЫЕ ИЗМЕНЕНИЯ В РАБОТЕ</w:t>
      </w:r>
    </w:p>
    <w:p w14:paraId="77A40B3F" w14:textId="61DDEC28" w:rsidR="009F4297" w:rsidRDefault="009F4297" w:rsidP="009F4297">
      <w:pPr>
        <w:spacing w:before="120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БУХГАЛТЕРА БЮДЖЕТНОЙ СФЕРЫ</w:t>
      </w:r>
    </w:p>
    <w:p w14:paraId="6B507315" w14:textId="18C4318A" w:rsidR="009F4297" w:rsidRPr="00A0172E" w:rsidRDefault="009F4297" w:rsidP="009F4297">
      <w:pPr>
        <w:spacing w:before="120" w:after="360"/>
        <w:jc w:val="center"/>
        <w:rPr>
          <w:rFonts w:ascii="Arial" w:hAnsi="Arial" w:cs="Arial"/>
          <w:color w:val="800080"/>
          <w:sz w:val="28"/>
          <w:szCs w:val="28"/>
        </w:rPr>
      </w:pPr>
      <w:r w:rsidRPr="005564B8">
        <w:rPr>
          <w:rFonts w:ascii="Arial" w:hAnsi="Arial" w:cs="Arial"/>
          <w:b/>
          <w:color w:val="FF0000"/>
          <w:sz w:val="28"/>
          <w:szCs w:val="28"/>
        </w:rPr>
        <w:t xml:space="preserve">ЗА </w:t>
      </w:r>
      <w:r>
        <w:rPr>
          <w:rFonts w:ascii="Arial" w:hAnsi="Arial" w:cs="Arial"/>
          <w:b/>
          <w:color w:val="FF0000"/>
          <w:sz w:val="28"/>
          <w:szCs w:val="28"/>
          <w:lang w:val="en-US"/>
        </w:rPr>
        <w:t>I</w:t>
      </w:r>
      <w:r w:rsidR="00B37E33">
        <w:rPr>
          <w:rFonts w:ascii="Arial" w:hAnsi="Arial" w:cs="Arial"/>
          <w:b/>
          <w:color w:val="FF0000"/>
          <w:sz w:val="28"/>
          <w:szCs w:val="28"/>
          <w:lang w:val="en-US"/>
        </w:rPr>
        <w:t>I</w:t>
      </w:r>
      <w:r w:rsidRPr="005564B8">
        <w:rPr>
          <w:rFonts w:ascii="Arial" w:hAnsi="Arial" w:cs="Arial"/>
          <w:b/>
          <w:color w:val="FF0000"/>
          <w:sz w:val="28"/>
          <w:szCs w:val="28"/>
        </w:rPr>
        <w:t xml:space="preserve"> КВАРТАЛ </w:t>
      </w:r>
      <w:r w:rsidRPr="005564B8">
        <w:rPr>
          <w:rFonts w:ascii="Arial" w:hAnsi="Arial" w:cs="Arial"/>
          <w:color w:val="800080"/>
          <w:sz w:val="28"/>
          <w:szCs w:val="28"/>
        </w:rPr>
        <w:t>(</w:t>
      </w:r>
      <w:r w:rsidR="00B37E33">
        <w:rPr>
          <w:rFonts w:ascii="Arial" w:hAnsi="Arial" w:cs="Arial"/>
          <w:color w:val="800080"/>
          <w:sz w:val="28"/>
          <w:szCs w:val="28"/>
        </w:rPr>
        <w:t>апрель</w:t>
      </w:r>
      <w:r w:rsidRPr="005564B8">
        <w:rPr>
          <w:rFonts w:ascii="Arial" w:hAnsi="Arial" w:cs="Arial"/>
          <w:color w:val="800080"/>
          <w:sz w:val="28"/>
          <w:szCs w:val="28"/>
        </w:rPr>
        <w:t xml:space="preserve"> </w:t>
      </w:r>
      <w:r>
        <w:rPr>
          <w:rFonts w:ascii="Arial" w:hAnsi="Arial" w:cs="Arial"/>
          <w:color w:val="800080"/>
          <w:sz w:val="28"/>
          <w:szCs w:val="28"/>
        </w:rPr>
        <w:t>–</w:t>
      </w:r>
      <w:r w:rsidRPr="005564B8">
        <w:rPr>
          <w:rFonts w:ascii="Arial" w:hAnsi="Arial" w:cs="Arial"/>
          <w:color w:val="800080"/>
          <w:sz w:val="28"/>
          <w:szCs w:val="28"/>
        </w:rPr>
        <w:t xml:space="preserve"> </w:t>
      </w:r>
      <w:r w:rsidR="00B37E33">
        <w:rPr>
          <w:rFonts w:ascii="Arial" w:hAnsi="Arial" w:cs="Arial"/>
          <w:color w:val="800080"/>
          <w:sz w:val="28"/>
          <w:szCs w:val="28"/>
        </w:rPr>
        <w:t>июнь</w:t>
      </w:r>
      <w:r>
        <w:rPr>
          <w:rFonts w:ascii="Arial" w:hAnsi="Arial" w:cs="Arial"/>
          <w:color w:val="800080"/>
          <w:sz w:val="28"/>
          <w:szCs w:val="28"/>
        </w:rPr>
        <w:t xml:space="preserve"> 202</w:t>
      </w:r>
      <w:r w:rsidR="00D54A19">
        <w:rPr>
          <w:rFonts w:ascii="Arial" w:hAnsi="Arial" w:cs="Arial"/>
          <w:color w:val="800080"/>
          <w:sz w:val="28"/>
          <w:szCs w:val="28"/>
        </w:rPr>
        <w:t>6</w:t>
      </w:r>
      <w:r w:rsidRPr="005564B8">
        <w:rPr>
          <w:rFonts w:ascii="Arial" w:hAnsi="Arial" w:cs="Arial"/>
          <w:color w:val="800080"/>
          <w:sz w:val="28"/>
          <w:szCs w:val="28"/>
        </w:rPr>
        <w:t xml:space="preserve"> г.)</w:t>
      </w:r>
    </w:p>
    <w:tbl>
      <w:tblPr>
        <w:tblpPr w:leftFromText="180" w:rightFromText="180" w:vertAnchor="text" w:tblpY="1"/>
        <w:tblOverlap w:val="never"/>
        <w:tblW w:w="10485" w:type="dxa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4536"/>
        <w:gridCol w:w="3260"/>
      </w:tblGrid>
      <w:tr w:rsidR="009F4297" w:rsidRPr="000547B9" w14:paraId="29AE3A21" w14:textId="77777777" w:rsidTr="00AC7786">
        <w:trPr>
          <w:trHeight w:val="841"/>
        </w:trPr>
        <w:tc>
          <w:tcPr>
            <w:tcW w:w="2689" w:type="dxa"/>
            <w:vAlign w:val="center"/>
          </w:tcPr>
          <w:p w14:paraId="085BEEEF" w14:textId="77777777" w:rsidR="009F4297" w:rsidRPr="000547B9" w:rsidRDefault="009F4297" w:rsidP="00AC7786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0547B9">
              <w:rPr>
                <w:rFonts w:ascii="Arial" w:hAnsi="Arial" w:cs="Arial"/>
                <w:b/>
                <w:color w:val="FF6600"/>
                <w:sz w:val="22"/>
                <w:szCs w:val="22"/>
              </w:rPr>
              <w:t>Что изменилось</w:t>
            </w:r>
          </w:p>
        </w:tc>
        <w:tc>
          <w:tcPr>
            <w:tcW w:w="4536" w:type="dxa"/>
            <w:vAlign w:val="center"/>
          </w:tcPr>
          <w:p w14:paraId="49E9F581" w14:textId="77777777" w:rsidR="009F4297" w:rsidRPr="000547B9" w:rsidRDefault="009F4297" w:rsidP="00AC7786">
            <w:pPr>
              <w:spacing w:before="120" w:after="120"/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0547B9">
              <w:rPr>
                <w:rFonts w:ascii="Arial" w:hAnsi="Arial" w:cs="Arial"/>
                <w:b/>
                <w:color w:val="FF6600"/>
                <w:sz w:val="22"/>
                <w:szCs w:val="22"/>
              </w:rPr>
              <w:t>Суть изменения</w:t>
            </w:r>
          </w:p>
        </w:tc>
        <w:tc>
          <w:tcPr>
            <w:tcW w:w="3260" w:type="dxa"/>
            <w:vAlign w:val="center"/>
          </w:tcPr>
          <w:p w14:paraId="2F7C35EC" w14:textId="77777777" w:rsidR="009F4297" w:rsidRPr="000547B9" w:rsidRDefault="009F4297" w:rsidP="00AC7786">
            <w:pPr>
              <w:spacing w:before="120"/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0547B9">
              <w:rPr>
                <w:rFonts w:ascii="Arial" w:hAnsi="Arial" w:cs="Arial"/>
                <w:b/>
                <w:color w:val="FF6600"/>
                <w:sz w:val="22"/>
                <w:szCs w:val="22"/>
              </w:rPr>
              <w:t xml:space="preserve">Отражение в материалах </w:t>
            </w:r>
          </w:p>
          <w:p w14:paraId="4B2D7354" w14:textId="77777777" w:rsidR="009F4297" w:rsidRPr="000547B9" w:rsidRDefault="009F4297" w:rsidP="00AC7786">
            <w:pPr>
              <w:spacing w:after="120"/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0547B9">
              <w:rPr>
                <w:rFonts w:ascii="Arial" w:hAnsi="Arial" w:cs="Arial"/>
                <w:b/>
                <w:color w:val="FF6600"/>
                <w:sz w:val="22"/>
                <w:szCs w:val="22"/>
              </w:rPr>
              <w:t>КонсультантПлюс</w:t>
            </w:r>
          </w:p>
        </w:tc>
      </w:tr>
      <w:tr w:rsidR="00D46CC1" w:rsidRPr="000547B9" w14:paraId="4C1C7A8B" w14:textId="77777777" w:rsidTr="00341690">
        <w:tc>
          <w:tcPr>
            <w:tcW w:w="10485" w:type="dxa"/>
            <w:gridSpan w:val="3"/>
            <w:shd w:val="clear" w:color="auto" w:fill="ED7D31" w:themeFill="accent2"/>
          </w:tcPr>
          <w:p w14:paraId="5D100F01" w14:textId="7A89AC98" w:rsidR="00D46CC1" w:rsidRPr="00DF19BD" w:rsidRDefault="00D46CC1" w:rsidP="00D46CC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Административная ответственность</w:t>
            </w:r>
          </w:p>
        </w:tc>
      </w:tr>
      <w:tr w:rsidR="00D46CC1" w:rsidRPr="000547B9" w14:paraId="7540A6B0" w14:textId="77777777" w:rsidTr="00341690">
        <w:trPr>
          <w:trHeight w:val="2537"/>
        </w:trPr>
        <w:tc>
          <w:tcPr>
            <w:tcW w:w="2689" w:type="dxa"/>
          </w:tcPr>
          <w:p w14:paraId="7B9616E3" w14:textId="77265542" w:rsidR="00D46CC1" w:rsidRDefault="00D46CC1" w:rsidP="00D46CC1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D46CC1">
              <w:rPr>
                <w:rFonts w:ascii="Arial" w:hAnsi="Arial" w:cs="Arial"/>
                <w:b/>
                <w:color w:val="7030A0"/>
                <w:sz w:val="20"/>
                <w:szCs w:val="20"/>
              </w:rPr>
              <w:t>Кодекс об административных правонарушениях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1B21099" w14:textId="14064885" w:rsidR="00D46CC1" w:rsidRPr="00493DEE" w:rsidRDefault="00F04268" w:rsidP="00D46CC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Уточнены положения </w:t>
            </w:r>
            <w:r w:rsidR="00354DE1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КоАП РФ 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 </w:t>
            </w:r>
            <w:r w:rsidR="00354DE1" w:rsidRPr="00493DEE">
              <w:rPr>
                <w:rFonts w:ascii="Arial" w:hAnsi="Arial" w:cs="Arial"/>
                <w:sz w:val="20"/>
                <w:szCs w:val="20"/>
                <w:lang w:eastAsia="en-US"/>
              </w:rPr>
              <w:t>ответственност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и</w:t>
            </w:r>
            <w:r w:rsidR="00354DE1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за нарушени</w:t>
            </w:r>
            <w:r w:rsidR="005E395B" w:rsidRPr="00493DEE">
              <w:rPr>
                <w:rFonts w:ascii="Arial" w:hAnsi="Arial" w:cs="Arial"/>
                <w:sz w:val="20"/>
                <w:szCs w:val="20"/>
                <w:lang w:eastAsia="en-US"/>
              </w:rPr>
              <w:t>я в сфере</w:t>
            </w:r>
            <w:r w:rsidR="00354DE1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бюджетного законодательства.</w:t>
            </w:r>
          </w:p>
          <w:p w14:paraId="21D111F3" w14:textId="07EE2CE0" w:rsidR="00354DE1" w:rsidRPr="00493DEE" w:rsidRDefault="00354DE1" w:rsidP="00354DE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Внесе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н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ны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е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поправки 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имеют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разны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е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сроки 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начала применения</w:t>
            </w:r>
            <w:r w:rsidR="00240063" w:rsidRPr="00493DEE">
              <w:rPr>
                <w:rFonts w:ascii="Arial" w:hAnsi="Arial" w:cs="Arial"/>
                <w:sz w:val="20"/>
                <w:szCs w:val="20"/>
                <w:lang w:eastAsia="en-US"/>
              </w:rPr>
              <w:t>, например:</w:t>
            </w:r>
          </w:p>
          <w:p w14:paraId="56255416" w14:textId="43941EEA" w:rsidR="00354DE1" w:rsidRPr="00493DEE" w:rsidRDefault="00354DE1" w:rsidP="00493DEE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left="315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26 июня 2026 г</w:t>
            </w:r>
            <w:r w:rsidR="00493DEE"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B3581E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вступили 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силу </w:t>
            </w:r>
            <w:r w:rsidR="004E7CF0" w:rsidRPr="00493DEE">
              <w:rPr>
                <w:rFonts w:ascii="Arial" w:hAnsi="Arial" w:cs="Arial"/>
                <w:sz w:val="20"/>
                <w:szCs w:val="20"/>
                <w:lang w:eastAsia="en-US"/>
              </w:rPr>
              <w:t>уточнения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>, что если искажение бюджетной либо бухгалтерской (финансовой) отчетности произошло из-за ненадлежащего оформления первичных учетных документов и(или) их непредставления (несвоевременного представления), то ответственность за это возлагается на должностное лицо, которое ответственно за оформлени</w:t>
            </w:r>
            <w:r w:rsidR="004E7CF0" w:rsidRPr="00493DEE">
              <w:rPr>
                <w:rFonts w:ascii="Arial" w:hAnsi="Arial" w:cs="Arial"/>
                <w:sz w:val="20"/>
                <w:szCs w:val="20"/>
                <w:lang w:eastAsia="en-US"/>
              </w:rPr>
              <w:t>е</w:t>
            </w:r>
            <w:r w:rsidR="00295CE7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факта хозяйственной жизни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;</w:t>
            </w:r>
          </w:p>
          <w:p w14:paraId="74B9978F" w14:textId="2472DEEF" w:rsidR="009F56E1" w:rsidRPr="00493DEE" w:rsidRDefault="00354DE1" w:rsidP="00493DEE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left="315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93DEE"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вводят штрафы</w:t>
            </w:r>
            <w:r w:rsidR="00240063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 несоблюдение порядка </w:t>
            </w:r>
            <w:r w:rsidR="00240063" w:rsidRPr="00493DEE">
              <w:rPr>
                <w:rFonts w:ascii="Arial" w:hAnsi="Arial" w:cs="Arial"/>
                <w:sz w:val="20"/>
                <w:szCs w:val="20"/>
                <w:lang w:eastAsia="en-US"/>
              </w:rPr>
              <w:t>и</w:t>
            </w:r>
            <w:r w:rsidR="009E44E7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(или) 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сроков размещения документов и информации о деятельности учреждений на сайте ГИС ГМУ</w:t>
            </w:r>
            <w:r w:rsidR="00521252" w:rsidRPr="00493DEE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14:paraId="1073B682" w14:textId="0C138B55" w:rsidR="00C371FC" w:rsidRPr="00493DEE" w:rsidRDefault="00C371FC" w:rsidP="0024006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Есть и другие изменения</w:t>
            </w:r>
          </w:p>
        </w:tc>
        <w:tc>
          <w:tcPr>
            <w:tcW w:w="3260" w:type="dxa"/>
          </w:tcPr>
          <w:p w14:paraId="78D60EA1" w14:textId="55600544" w:rsidR="00240063" w:rsidRPr="00493DEE" w:rsidRDefault="0014515F" w:rsidP="00493DEE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D32EFB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Последни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D32EFB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изменения: План финансово-хозяйственной деятельности</w:t>
              </w:r>
            </w:hyperlink>
          </w:p>
          <w:p w14:paraId="45DD9F3C" w14:textId="0DB28BB4" w:rsidR="000864EE" w:rsidRPr="00493DEE" w:rsidRDefault="0014515F" w:rsidP="00493DEE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C46EE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Последни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C46EE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изменения: Первичные учетные документы и регистры учета (для организаций бюджетной сферы)</w:t>
              </w:r>
            </w:hyperlink>
          </w:p>
          <w:p w14:paraId="326FB553" w14:textId="1E41101B" w:rsidR="00467F36" w:rsidRPr="00493DEE" w:rsidRDefault="00493DEE" w:rsidP="00493DEE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  <w:rFonts w:ascii="Arial" w:hAnsi="Arial" w:cs="Arial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Style w:val="a3"/>
                <w:rFonts w:ascii="Arial" w:hAnsi="Arial" w:cs="Arial"/>
                <w:sz w:val="20"/>
                <w:szCs w:val="20"/>
              </w:rPr>
              <w:instrText xml:space="preserve"> HYPERLINK "https://login.consultant.ru/link/?req=doc&amp;base=IVBS&amp;n=45" </w:instrText>
            </w:r>
            <w:r>
              <w:rPr>
                <w:rStyle w:val="a3"/>
                <w:rFonts w:ascii="Arial" w:hAnsi="Arial" w:cs="Arial"/>
                <w:sz w:val="20"/>
                <w:szCs w:val="20"/>
              </w:rPr>
              <w:fldChar w:fldCharType="separate"/>
            </w:r>
            <w:r w:rsidR="00467F36" w:rsidRPr="00493DEE">
              <w:rPr>
                <w:rStyle w:val="a3"/>
                <w:rFonts w:ascii="Arial" w:hAnsi="Arial" w:cs="Arial"/>
                <w:sz w:val="20"/>
                <w:szCs w:val="20"/>
              </w:rPr>
              <w:t>Последние изменения: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(для казенных учреждений, государственных органов и органов местного самоуправления (органов местной администрации))</w:t>
            </w:r>
          </w:p>
          <w:p w14:paraId="61F09BEF" w14:textId="7494BF05" w:rsidR="00BA1CB8" w:rsidRPr="00493DEE" w:rsidRDefault="00493DEE" w:rsidP="00493DEE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3"/>
                <w:rFonts w:ascii="Arial" w:hAnsi="Arial" w:cs="Arial"/>
                <w:sz w:val="20"/>
                <w:szCs w:val="20"/>
              </w:rPr>
              <w:fldChar w:fldCharType="end"/>
            </w:r>
            <w:hyperlink r:id="rId9" w:history="1">
              <w:r w:rsidR="00CD13F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CD13F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CD13F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CD13F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заполнить и представить отчет о результатах деятельности учреждения и использовании закрепленного за ним имущества</w:t>
              </w:r>
            </w:hyperlink>
          </w:p>
          <w:p w14:paraId="5FDE7BCF" w14:textId="3664BBF3" w:rsidR="001F63D1" w:rsidRPr="00493DEE" w:rsidRDefault="0014515F" w:rsidP="00493DEE">
            <w:pPr>
              <w:pStyle w:val="a9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4A698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4A698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4A698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Какая ответственность предусмотрена за нарушение требований к бюджетному (бухгалтерскому) учету, сдаче отчетности и исполнению (планированию) бюджета</w:t>
              </w:r>
            </w:hyperlink>
          </w:p>
        </w:tc>
      </w:tr>
      <w:tr w:rsidR="008D77AB" w:rsidRPr="000547B9" w14:paraId="026ADEF8" w14:textId="77777777" w:rsidTr="00DF19BD">
        <w:tc>
          <w:tcPr>
            <w:tcW w:w="10485" w:type="dxa"/>
            <w:gridSpan w:val="3"/>
            <w:shd w:val="clear" w:color="auto" w:fill="ED7D31" w:themeFill="accent2"/>
          </w:tcPr>
          <w:p w14:paraId="307B39F3" w14:textId="55B010D9" w:rsidR="008D77AB" w:rsidRPr="00DF19BD" w:rsidRDefault="000C3F23" w:rsidP="008D77AB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 w:rsidRPr="000C3F23">
              <w:rPr>
                <w:rFonts w:ascii="Arial" w:hAnsi="Arial" w:cs="Arial"/>
                <w:b/>
                <w:color w:val="800080"/>
                <w:sz w:val="20"/>
                <w:szCs w:val="20"/>
              </w:rPr>
              <w:t>Казначейское исполнение</w:t>
            </w:r>
          </w:p>
        </w:tc>
      </w:tr>
      <w:tr w:rsidR="008D77AB" w:rsidRPr="000547B9" w14:paraId="303B2034" w14:textId="77777777" w:rsidTr="003D2772">
        <w:trPr>
          <w:trHeight w:val="2537"/>
        </w:trPr>
        <w:tc>
          <w:tcPr>
            <w:tcW w:w="2689" w:type="dxa"/>
          </w:tcPr>
          <w:p w14:paraId="12B0FE66" w14:textId="663B0EF7" w:rsidR="008D77AB" w:rsidRDefault="000C3F23" w:rsidP="008D77AB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C3F23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Правила организации и функционирования системы казначейских платежей</w:t>
            </w:r>
          </w:p>
        </w:tc>
        <w:tc>
          <w:tcPr>
            <w:tcW w:w="4536" w:type="dxa"/>
          </w:tcPr>
          <w:p w14:paraId="1EF5F59A" w14:textId="65DF4E30" w:rsidR="002E7B5D" w:rsidRPr="00493DEE" w:rsidRDefault="00697035" w:rsidP="002E7B5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Казначейств</w:t>
            </w:r>
            <w:r w:rsidR="006218B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о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России внес</w:t>
            </w:r>
            <w:r w:rsidR="006218B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ло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изменени</w:t>
            </w:r>
            <w:r w:rsidR="006218B7" w:rsidRPr="00493DEE">
              <w:rPr>
                <w:rFonts w:ascii="Arial" w:hAnsi="Arial" w:cs="Arial"/>
                <w:sz w:val="20"/>
                <w:szCs w:val="20"/>
                <w:lang w:eastAsia="en-US"/>
              </w:rPr>
              <w:t>я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</w:t>
            </w:r>
            <w:r w:rsidR="00B166D5">
              <w:rPr>
                <w:rFonts w:ascii="Arial" w:hAnsi="Arial" w:cs="Arial"/>
                <w:sz w:val="20"/>
                <w:szCs w:val="20"/>
                <w:lang w:eastAsia="en-US"/>
              </w:rPr>
              <w:t>п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равила организации и функционирования системы казначейских платежей.</w:t>
            </w:r>
          </w:p>
          <w:p w14:paraId="5B9651DA" w14:textId="5E0963F7" w:rsidR="007153EC" w:rsidRPr="00493DEE" w:rsidRDefault="003E0696" w:rsidP="007153E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Среди прочег</w:t>
            </w:r>
            <w:r w:rsidR="007153EC" w:rsidRPr="00493DEE">
              <w:rPr>
                <w:rFonts w:ascii="Arial" w:hAnsi="Arial" w:cs="Arial"/>
                <w:sz w:val="20"/>
                <w:szCs w:val="20"/>
                <w:lang w:eastAsia="en-US"/>
              </w:rPr>
              <w:t>о правила дополн</w:t>
            </w:r>
            <w:r w:rsidR="000E510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ены</w:t>
            </w:r>
            <w:r w:rsidR="007153EC" w:rsidRPr="00493DEE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  <w:p w14:paraId="02CAA247" w14:textId="1C4E9B83" w:rsidR="00A07732" w:rsidRPr="00493DEE" w:rsidRDefault="009119CF" w:rsidP="00493DE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315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положениями о</w:t>
            </w:r>
            <w:r w:rsidR="00A07732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распоряжения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  <w:r w:rsidR="00A07732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о переводе цифрового рубля;</w:t>
            </w:r>
          </w:p>
          <w:p w14:paraId="7BA89A87" w14:textId="2995D1B8" w:rsidR="00343DD9" w:rsidRPr="00493DEE" w:rsidRDefault="009119CF" w:rsidP="00493DE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315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порядком отзыва распоряжения его уполномоченным составителем;</w:t>
            </w:r>
          </w:p>
          <w:p w14:paraId="5CAD0DE3" w14:textId="291D0823" w:rsidR="00A07732" w:rsidRPr="00493DEE" w:rsidRDefault="00A07732" w:rsidP="00493DEE">
            <w:pPr>
              <w:pStyle w:val="a9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315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обнов</w:t>
            </w:r>
            <w:r w:rsidR="000E510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ленными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реквизит</w:t>
            </w:r>
            <w:r w:rsidR="000E5107" w:rsidRPr="00493DEE">
              <w:rPr>
                <w:rFonts w:ascii="Arial" w:hAnsi="Arial" w:cs="Arial"/>
                <w:sz w:val="20"/>
                <w:szCs w:val="20"/>
                <w:lang w:eastAsia="en-US"/>
              </w:rPr>
              <w:t>ами</w:t>
            </w: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распоряжений.</w:t>
            </w:r>
          </w:p>
          <w:p w14:paraId="2B1C4228" w14:textId="7877BDA1" w:rsidR="008D77AB" w:rsidRPr="00493DEE" w:rsidRDefault="00697035" w:rsidP="00A0773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sz w:val="20"/>
                <w:szCs w:val="20"/>
                <w:lang w:eastAsia="en-US"/>
              </w:rPr>
              <w:t>Положения действуют</w:t>
            </w:r>
            <w:r w:rsidR="00941210" w:rsidRPr="00493DE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17</w:t>
            </w:r>
            <w:r w:rsid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мая </w:t>
            </w: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2026</w:t>
            </w:r>
            <w:r w:rsid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г</w:t>
            </w:r>
            <w:r w:rsidR="00941210"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2D33E765" w14:textId="7D34E051" w:rsidR="008D77AB" w:rsidRPr="00493DEE" w:rsidRDefault="0014515F" w:rsidP="00493DEE">
            <w:pPr>
              <w:pStyle w:val="a9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CA166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Последни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CA1663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изменения: Порядок казначейского обслуживания</w:t>
              </w:r>
            </w:hyperlink>
          </w:p>
          <w:p w14:paraId="7622CDB9" w14:textId="551AF491" w:rsidR="008D77AB" w:rsidRPr="00493DEE" w:rsidRDefault="0014515F" w:rsidP="00493DEE">
            <w:pPr>
              <w:pStyle w:val="a9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124B2D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124B2D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124B2D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Что</w:t>
              </w:r>
              <w:proofErr w:type="gramEnd"/>
              <w:r w:rsidR="00124B2D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учреждению следует знать о расчетах с применением цифрового рубля</w:t>
              </w:r>
            </w:hyperlink>
          </w:p>
        </w:tc>
      </w:tr>
      <w:tr w:rsidR="008D77AB" w:rsidRPr="000547B9" w14:paraId="26D866D9" w14:textId="77777777" w:rsidTr="00DF19BD">
        <w:tc>
          <w:tcPr>
            <w:tcW w:w="10485" w:type="dxa"/>
            <w:gridSpan w:val="3"/>
            <w:shd w:val="clear" w:color="auto" w:fill="ED7D31" w:themeFill="accent2"/>
          </w:tcPr>
          <w:p w14:paraId="7B167020" w14:textId="41C20F44" w:rsidR="008D77AB" w:rsidRPr="00835B7A" w:rsidRDefault="00DF4BA2" w:rsidP="008D77A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Учет</w:t>
            </w:r>
          </w:p>
        </w:tc>
      </w:tr>
      <w:tr w:rsidR="00AB229C" w:rsidRPr="000547B9" w14:paraId="5FD55738" w14:textId="77777777" w:rsidTr="003D2772">
        <w:trPr>
          <w:trHeight w:val="699"/>
        </w:trPr>
        <w:tc>
          <w:tcPr>
            <w:tcW w:w="2689" w:type="dxa"/>
          </w:tcPr>
          <w:p w14:paraId="200F42ED" w14:textId="77777777" w:rsidR="00AB229C" w:rsidRDefault="00AB229C" w:rsidP="00AB229C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Инструкция</w:t>
            </w:r>
            <w:r w:rsidRPr="00C42F7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по применению плана счетов 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бюджетного </w:t>
            </w:r>
            <w:r w:rsidRPr="00C42F7A">
              <w:rPr>
                <w:rFonts w:ascii="Arial" w:hAnsi="Arial" w:cs="Arial"/>
                <w:b/>
                <w:color w:val="7030A0"/>
                <w:sz w:val="20"/>
                <w:szCs w:val="20"/>
              </w:rPr>
              <w:t>учета</w:t>
            </w:r>
          </w:p>
        </w:tc>
        <w:tc>
          <w:tcPr>
            <w:tcW w:w="4536" w:type="dxa"/>
          </w:tcPr>
          <w:p w14:paraId="04873566" w14:textId="42C77FB3" w:rsidR="00AB229C" w:rsidRPr="00493DEE" w:rsidRDefault="00AB229C" w:rsidP="00AB229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Минфин России утвердил </w:t>
            </w:r>
            <w:r w:rsidR="00905FE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</w:t>
            </w: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нструкцию по применению плана счетов бюджетного учета.</w:t>
            </w:r>
          </w:p>
          <w:p w14:paraId="52183F7A" w14:textId="7A7ABDF5" w:rsidR="00AB229C" w:rsidRPr="00493DEE" w:rsidRDefault="00AB229C" w:rsidP="00AB229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Положения инструкции повторяют содержание </w:t>
            </w:r>
            <w:proofErr w:type="spellStart"/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методрекомендаций</w:t>
            </w:r>
            <w:proofErr w:type="spellEnd"/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по применению </w:t>
            </w:r>
            <w:r w:rsidR="0078767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</w:t>
            </w: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тандарта «План счетов бюджетного учета», направленных ранее письмом Минфина России от 22.12.2025 N 02-07-09/124784</w:t>
            </w:r>
            <w:r w:rsidR="000E2ADD"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  <w:r w:rsidR="00296A86"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 незначительными уточнениями</w:t>
            </w: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. </w:t>
            </w:r>
          </w:p>
          <w:p w14:paraId="074818B8" w14:textId="79864379" w:rsidR="00AB229C" w:rsidRPr="00493DEE" w:rsidRDefault="00AB229C" w:rsidP="00AB229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Инструкция действу</w:t>
            </w:r>
            <w:r w:rsidR="007B4FEE"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е</w:t>
            </w:r>
            <w:r w:rsidRPr="00493DE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т </w:t>
            </w: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14</w:t>
            </w:r>
            <w:r w:rsidR="00493DEE"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апреля </w:t>
            </w: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2026</w:t>
            </w:r>
            <w:r w:rsidR="00493DEE"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г</w:t>
            </w: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6383ADC" w14:textId="1C8DDE60" w:rsidR="00AB229C" w:rsidRPr="00493DEE" w:rsidRDefault="0014515F" w:rsidP="00493DEE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345EEF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Последни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345EEF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изменения: План счетов государственного (муниципального) учреждения</w:t>
              </w:r>
            </w:hyperlink>
          </w:p>
          <w:p w14:paraId="55BC3804" w14:textId="4E1D4D42" w:rsidR="00682A4A" w:rsidRPr="00493DEE" w:rsidRDefault="0014515F" w:rsidP="00493DEE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8E0BC7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8E0BC7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8E0BC7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8E0BC7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нормативно регулируется бухгалтерский (бюджетный) учет</w:t>
              </w:r>
            </w:hyperlink>
          </w:p>
          <w:p w14:paraId="43E092B8" w14:textId="1B6E058A" w:rsidR="008E0BC7" w:rsidRPr="00493DEE" w:rsidRDefault="0014515F" w:rsidP="00493DEE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учитывать на счете 401 10 доходы текущего финансового года от необменных операций</w:t>
              </w:r>
            </w:hyperlink>
          </w:p>
          <w:p w14:paraId="48362279" w14:textId="49BA1567" w:rsidR="00CA6122" w:rsidRPr="00493DEE" w:rsidRDefault="0014515F" w:rsidP="00493DEE">
            <w:pPr>
              <w:pStyle w:val="a9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6D49AA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учреждению отразить классификационный признак при формировании номера счета бухгалтерского (бюджетного) учета</w:t>
              </w:r>
            </w:hyperlink>
          </w:p>
        </w:tc>
      </w:tr>
      <w:tr w:rsidR="00E27759" w:rsidRPr="000547B9" w14:paraId="45204BDE" w14:textId="77777777" w:rsidTr="00060B52">
        <w:tc>
          <w:tcPr>
            <w:tcW w:w="10485" w:type="dxa"/>
            <w:gridSpan w:val="3"/>
            <w:shd w:val="clear" w:color="auto" w:fill="ED7D31" w:themeFill="accent2"/>
          </w:tcPr>
          <w:p w14:paraId="2A34C2C2" w14:textId="25C1F473" w:rsidR="00E27759" w:rsidRPr="00DF19BD" w:rsidRDefault="00E27759" w:rsidP="00E27759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 w:rsidRPr="00E27759">
              <w:rPr>
                <w:rFonts w:ascii="Arial" w:hAnsi="Arial" w:cs="Arial"/>
                <w:b/>
                <w:color w:val="800080"/>
                <w:sz w:val="20"/>
                <w:szCs w:val="20"/>
              </w:rPr>
              <w:t>Транспортные документы</w:t>
            </w:r>
          </w:p>
        </w:tc>
      </w:tr>
      <w:tr w:rsidR="00E27759" w:rsidRPr="00E27759" w14:paraId="142EA91C" w14:textId="77777777" w:rsidTr="00AD7F16">
        <w:trPr>
          <w:trHeight w:val="699"/>
        </w:trPr>
        <w:tc>
          <w:tcPr>
            <w:tcW w:w="2689" w:type="dxa"/>
          </w:tcPr>
          <w:p w14:paraId="67DA00E5" w14:textId="4C330309" w:rsidR="00E27759" w:rsidRPr="00E27759" w:rsidRDefault="00E27759" w:rsidP="00E27759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E27759">
              <w:rPr>
                <w:rFonts w:ascii="Arial" w:hAnsi="Arial" w:cs="Arial"/>
                <w:b/>
                <w:color w:val="7030A0"/>
                <w:sz w:val="20"/>
                <w:szCs w:val="20"/>
              </w:rPr>
              <w:t>Электронный документооборот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316149E7" w14:textId="51D6483A" w:rsidR="00E27759" w:rsidRPr="00C51E2A" w:rsidRDefault="00E27759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для большинства перевозок потребуются электронные перевозочные документы.</w:t>
            </w:r>
            <w:r w:rsidR="00093A4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Также установлены случаи, когда такие документы оформляются на бумаге</w:t>
            </w:r>
          </w:p>
        </w:tc>
        <w:tc>
          <w:tcPr>
            <w:tcW w:w="3260" w:type="dxa"/>
          </w:tcPr>
          <w:p w14:paraId="7C5CEE4B" w14:textId="3E0C8911" w:rsidR="00E27759" w:rsidRPr="00E27759" w:rsidRDefault="0014515F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7" w:tooltip="Ссылка на КонсультантПлюс" w:history="1">
              <w:r w:rsidR="00E27759" w:rsidRPr="00E27759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>Готово</w:t>
              </w:r>
              <w:r w:rsidR="00493DEE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>е</w:t>
              </w:r>
              <w:r w:rsidR="00E27759" w:rsidRPr="00E27759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 xml:space="preserve"> решени</w:t>
              </w:r>
              <w:r w:rsidR="00493DEE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>е</w:t>
              </w:r>
              <w:proofErr w:type="gramStart"/>
              <w:r w:rsidR="00E27759" w:rsidRPr="00E27759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>: Как</w:t>
              </w:r>
              <w:proofErr w:type="gramEnd"/>
              <w:r w:rsidR="00E27759" w:rsidRPr="00E27759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 xml:space="preserve"> заполнить электронную транспортную накладную</w:t>
              </w:r>
            </w:hyperlink>
          </w:p>
        </w:tc>
      </w:tr>
      <w:tr w:rsidR="00A07A72" w:rsidRPr="000547B9" w14:paraId="6F98B41C" w14:textId="77777777" w:rsidTr="00FF5F80">
        <w:tc>
          <w:tcPr>
            <w:tcW w:w="10485" w:type="dxa"/>
            <w:gridSpan w:val="3"/>
            <w:shd w:val="clear" w:color="auto" w:fill="ED7D31" w:themeFill="accent2"/>
          </w:tcPr>
          <w:p w14:paraId="70F7DAFB" w14:textId="3F29E094" w:rsidR="00A07A72" w:rsidRPr="00DF19BD" w:rsidRDefault="00A07A72" w:rsidP="00A07A72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Налоги</w:t>
            </w:r>
          </w:p>
        </w:tc>
      </w:tr>
      <w:tr w:rsidR="00E257A2" w:rsidRPr="000547B9" w14:paraId="76DD9BF8" w14:textId="77777777" w:rsidTr="00B37E33">
        <w:trPr>
          <w:trHeight w:val="699"/>
        </w:trPr>
        <w:tc>
          <w:tcPr>
            <w:tcW w:w="2689" w:type="dxa"/>
          </w:tcPr>
          <w:p w14:paraId="1AEE56C9" w14:textId="1DD6BF96" w:rsidR="00E257A2" w:rsidRPr="00D47264" w:rsidRDefault="00E257A2" w:rsidP="00E257A2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D47264">
              <w:rPr>
                <w:rFonts w:ascii="Arial" w:hAnsi="Arial" w:cs="Arial"/>
                <w:b/>
                <w:color w:val="7030A0"/>
                <w:sz w:val="20"/>
                <w:szCs w:val="20"/>
              </w:rPr>
              <w:t>Камеральные налоговые проверки</w:t>
            </w:r>
          </w:p>
        </w:tc>
        <w:tc>
          <w:tcPr>
            <w:tcW w:w="4536" w:type="dxa"/>
          </w:tcPr>
          <w:p w14:paraId="52808F78" w14:textId="249DCC63" w:rsidR="00E257A2" w:rsidRPr="00C51E2A" w:rsidRDefault="00E257A2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ФНС представила новые </w:t>
            </w:r>
            <w:r w:rsidR="004745E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екомендации по проведению камеральных налоговых проверок. Подробно рассмотрены, например, допрос свидетеля и истребование документов.</w:t>
            </w:r>
          </w:p>
          <w:p w14:paraId="448420AE" w14:textId="046D4718" w:rsidR="00E257A2" w:rsidRPr="00C51E2A" w:rsidRDefault="00E257A2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В </w:t>
            </w:r>
            <w:r w:rsidR="00FF02B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екомендациях есть целый блок </w:t>
            </w:r>
            <w:r w:rsidR="009F4E7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об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особенност</w:t>
            </w:r>
            <w:r w:rsidR="00C41B1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ях</w:t>
            </w:r>
            <w:bookmarkStart w:id="0" w:name="_GoBack"/>
            <w:bookmarkEnd w:id="0"/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проведения проверки при экспортно-импортных операциях, в том числе в рамках СПОТ и национальной системы прослеживаемости</w:t>
            </w:r>
          </w:p>
        </w:tc>
        <w:tc>
          <w:tcPr>
            <w:tcW w:w="3260" w:type="dxa"/>
          </w:tcPr>
          <w:p w14:paraId="1BE68DE0" w14:textId="6EC26125" w:rsidR="00E257A2" w:rsidRPr="00D47264" w:rsidRDefault="0014515F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8" w:tooltip="Ссылка на КонсультантПлюс" w:history="1">
              <w:r w:rsidR="00E257A2" w:rsidRPr="00D47264">
                <w:rPr>
                  <w:rStyle w:val="a3"/>
                  <w:rFonts w:ascii="Arial" w:hAnsi="Arial" w:cs="Arial"/>
                  <w:iCs/>
                  <w:sz w:val="20"/>
                  <w:szCs w:val="20"/>
                </w:rPr>
                <w:t>Готовое решение: Общий порядок проведения камеральной проверки по налогам и страховым взносам</w:t>
              </w:r>
            </w:hyperlink>
          </w:p>
        </w:tc>
      </w:tr>
      <w:tr w:rsidR="00E257A2" w:rsidRPr="000547B9" w14:paraId="3D43BFCE" w14:textId="77777777" w:rsidTr="002E6994">
        <w:trPr>
          <w:trHeight w:val="699"/>
        </w:trPr>
        <w:tc>
          <w:tcPr>
            <w:tcW w:w="2689" w:type="dxa"/>
          </w:tcPr>
          <w:p w14:paraId="22A5F530" w14:textId="30B8E370" w:rsidR="00E257A2" w:rsidRPr="00D47264" w:rsidRDefault="00E257A2" w:rsidP="00E257A2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D47264">
              <w:rPr>
                <w:rFonts w:ascii="Arial" w:hAnsi="Arial" w:cs="Arial"/>
                <w:b/>
                <w:color w:val="7030A0"/>
                <w:sz w:val="20"/>
                <w:szCs w:val="20"/>
              </w:rPr>
              <w:t>Штрафы за «нулевую» отчетность</w:t>
            </w:r>
          </w:p>
        </w:tc>
        <w:tc>
          <w:tcPr>
            <w:tcW w:w="4536" w:type="dxa"/>
          </w:tcPr>
          <w:p w14:paraId="53BBE9E2" w14:textId="1CDE8ADA" w:rsidR="00E257A2" w:rsidRPr="00C51E2A" w:rsidRDefault="00E257A2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26 июня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отменен штраф за несвоевременное предоставление "нулевых" налоговых деклараций (РСВ)</w:t>
            </w:r>
          </w:p>
        </w:tc>
        <w:tc>
          <w:tcPr>
            <w:tcW w:w="3260" w:type="dxa"/>
          </w:tcPr>
          <w:p w14:paraId="614988AF" w14:textId="05CB157A" w:rsidR="00E257A2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Последни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изменения: Налоговая ответственность (для организаций бюджетной сферы)</w:t>
              </w:r>
            </w:hyperlink>
          </w:p>
          <w:p w14:paraId="65634E45" w14:textId="29BB931D" w:rsidR="00E257A2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Штрафы за несдачу или несвоевременную сдачу налоговой отчетности</w:t>
              </w:r>
            </w:hyperlink>
          </w:p>
          <w:p w14:paraId="6B086CD3" w14:textId="505517DF" w:rsidR="00E257A2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hyperlink r:id="rId21" w:history="1"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E257A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E257A2" w:rsidRPr="00493DEE">
                <w:rPr>
                  <w:rStyle w:val="a3"/>
                  <w:rFonts w:ascii="Arial" w:eastAsiaTheme="minorHAnsi" w:hAnsi="Arial" w:cs="Arial"/>
                  <w:sz w:val="20"/>
                  <w:szCs w:val="20"/>
                  <w:lang w:eastAsia="en-US"/>
                </w:rPr>
                <w:t>: Что</w:t>
              </w:r>
              <w:proofErr w:type="gramEnd"/>
              <w:r w:rsidR="00E257A2" w:rsidRPr="00493DEE">
                <w:rPr>
                  <w:rStyle w:val="a3"/>
                  <w:rFonts w:ascii="Arial" w:eastAsiaTheme="minorHAnsi" w:hAnsi="Arial" w:cs="Arial"/>
                  <w:sz w:val="20"/>
                  <w:szCs w:val="20"/>
                  <w:lang w:eastAsia="en-US"/>
                </w:rPr>
                <w:t xml:space="preserve"> может сделать инспекция, если не представить налоговую декларацию</w:t>
              </w:r>
            </w:hyperlink>
          </w:p>
        </w:tc>
      </w:tr>
      <w:tr w:rsidR="00D47264" w:rsidRPr="000547B9" w14:paraId="6B5EAE24" w14:textId="77777777" w:rsidTr="002B69D6">
        <w:trPr>
          <w:trHeight w:val="699"/>
        </w:trPr>
        <w:tc>
          <w:tcPr>
            <w:tcW w:w="2689" w:type="dxa"/>
          </w:tcPr>
          <w:p w14:paraId="1AB22F46" w14:textId="6F9417EF" w:rsidR="00D47264" w:rsidRPr="00D47264" w:rsidRDefault="00D47264" w:rsidP="00D47264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D47264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Документы для расчета НДС</w:t>
            </w:r>
          </w:p>
        </w:tc>
        <w:tc>
          <w:tcPr>
            <w:tcW w:w="4536" w:type="dxa"/>
          </w:tcPr>
          <w:p w14:paraId="40CC4D6C" w14:textId="241B848C" w:rsidR="00D47264" w:rsidRPr="00C51E2A" w:rsidRDefault="00D47264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июля</w:t>
            </w:r>
            <w:r w:rsidRPr="00C51E2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уточнены форматы журнала учета полученных и выставленных счетов-фактур, книги покупок и книги продаж, а также дополнительного листа книги покупок и книги продаж. Учтены изменения в соответствующих формах. В частности, внесен реквизит для номера и даты счета-фактуры продавца при отгрузке в счет ранее полученной оплаты</w:t>
            </w:r>
          </w:p>
        </w:tc>
        <w:tc>
          <w:tcPr>
            <w:tcW w:w="3260" w:type="dxa"/>
          </w:tcPr>
          <w:p w14:paraId="4C62BBDD" w14:textId="524ADC4B" w:rsidR="00D47264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22" w:tooltip="Ссылка на КонсультантПлюс" w:history="1"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Готовое решение</w:t>
              </w:r>
              <w:proofErr w:type="gramStart"/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заполнить форму журнала учета полученных и выставленных счетов-фактур</w:t>
              </w:r>
            </w:hyperlink>
          </w:p>
          <w:p w14:paraId="0D2985C8" w14:textId="77777777" w:rsidR="00493DEE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  <w:rFonts w:ascii="Arial" w:hAnsi="Arial" w:cs="Arial"/>
                <w:sz w:val="20"/>
                <w:szCs w:val="20"/>
              </w:rPr>
            </w:pPr>
            <w:hyperlink r:id="rId23" w:tooltip="Ссылка на КонсультантПлюс" w:history="1"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Готовое решение</w:t>
              </w:r>
              <w:proofErr w:type="gramStart"/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вести книгу покупок</w:t>
              </w:r>
            </w:hyperlink>
          </w:p>
          <w:p w14:paraId="78C2FC87" w14:textId="06C53473" w:rsidR="00D47264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24" w:tooltip="Ссылка на КонсультантПлюс" w:history="1"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Готовое решение</w:t>
              </w:r>
              <w:proofErr w:type="gramStart"/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D47264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заполнить обновленную форму книги продаж</w:t>
              </w:r>
            </w:hyperlink>
          </w:p>
        </w:tc>
      </w:tr>
      <w:tr w:rsidR="00E27759" w:rsidRPr="000547B9" w14:paraId="3D58FCF2" w14:textId="77777777" w:rsidTr="002B69D6">
        <w:trPr>
          <w:trHeight w:val="699"/>
        </w:trPr>
        <w:tc>
          <w:tcPr>
            <w:tcW w:w="2689" w:type="dxa"/>
          </w:tcPr>
          <w:p w14:paraId="13EF0A36" w14:textId="635ED6C7" w:rsidR="00E27759" w:rsidRPr="00E27759" w:rsidRDefault="00E27759" w:rsidP="00E27759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E27759">
              <w:rPr>
                <w:rFonts w:ascii="Arial" w:hAnsi="Arial" w:cs="Arial"/>
                <w:b/>
                <w:color w:val="7030A0"/>
                <w:sz w:val="20"/>
                <w:szCs w:val="20"/>
              </w:rPr>
              <w:t>Контрольные соотношения для РСВ</w:t>
            </w:r>
          </w:p>
        </w:tc>
        <w:tc>
          <w:tcPr>
            <w:tcW w:w="4536" w:type="dxa"/>
          </w:tcPr>
          <w:p w14:paraId="54678020" w14:textId="42461AA2" w:rsidR="00E27759" w:rsidRPr="00E27759" w:rsidRDefault="00E27759" w:rsidP="00C51E2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7759">
              <w:rPr>
                <w:rFonts w:ascii="Arial" w:hAnsi="Arial" w:cs="Arial"/>
                <w:sz w:val="20"/>
                <w:szCs w:val="20"/>
              </w:rPr>
              <w:t>ФНС направила письмо о корректировке контрольных соотношений для РСВ. Так, не применяются некоторые соотношения для субъектов МСП отрасли обрабатывающего производства</w:t>
            </w:r>
          </w:p>
        </w:tc>
        <w:tc>
          <w:tcPr>
            <w:tcW w:w="3260" w:type="dxa"/>
          </w:tcPr>
          <w:p w14:paraId="44B55286" w14:textId="37553BB3" w:rsidR="00E27759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25" w:tooltip="Ссылка на КонсультантПлюс" w:history="1"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Последни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изменения: Пониженные тарифы страховых взносов</w:t>
              </w:r>
            </w:hyperlink>
          </w:p>
          <w:p w14:paraId="21AB228B" w14:textId="6C3A977E" w:rsidR="00E27759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26" w:tooltip="Ссылка на КонсультантПлюс" w:history="1"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решени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е</w:t>
              </w:r>
              <w:proofErr w:type="gramStart"/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проверить правильность заполнения РСВ по контрольным соотношениям</w:t>
              </w:r>
            </w:hyperlink>
          </w:p>
        </w:tc>
      </w:tr>
      <w:tr w:rsidR="00E27759" w:rsidRPr="000547B9" w14:paraId="3B81BA26" w14:textId="77777777" w:rsidTr="002B69D6">
        <w:trPr>
          <w:trHeight w:val="699"/>
        </w:trPr>
        <w:tc>
          <w:tcPr>
            <w:tcW w:w="2689" w:type="dxa"/>
          </w:tcPr>
          <w:p w14:paraId="5E9ED6D2" w14:textId="56D4DB1F" w:rsidR="00E27759" w:rsidRPr="00062812" w:rsidRDefault="00E27759" w:rsidP="00E27759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62812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Уведомление (сообщение) по УСН </w:t>
            </w:r>
          </w:p>
        </w:tc>
        <w:tc>
          <w:tcPr>
            <w:tcW w:w="4536" w:type="dxa"/>
          </w:tcPr>
          <w:p w14:paraId="0EA41AD9" w14:textId="1FD57507" w:rsidR="00E27759" w:rsidRPr="00062812" w:rsidRDefault="00E27759" w:rsidP="00F27BC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812">
              <w:rPr>
                <w:rFonts w:ascii="Arial" w:hAnsi="Arial" w:cs="Arial"/>
                <w:sz w:val="20"/>
                <w:szCs w:val="20"/>
              </w:rPr>
              <w:t xml:space="preserve">ФНС утвердила новую форму уведомления (сообщения) по УСН, порядок ее заполнения, формат представления такого уведомления (сообщения) в электронной форме. Приказ начнет действовать </w:t>
            </w: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30 июля</w:t>
            </w:r>
            <w:r w:rsidRPr="00062812">
              <w:rPr>
                <w:rFonts w:ascii="Arial" w:hAnsi="Arial" w:cs="Arial"/>
                <w:sz w:val="20"/>
                <w:szCs w:val="20"/>
              </w:rPr>
              <w:t>. Например, станет невозможным просто уведомить об отказе от УСН: будет только уведомление о переходе на иной режим налогообложения</w:t>
            </w:r>
          </w:p>
        </w:tc>
        <w:tc>
          <w:tcPr>
            <w:tcW w:w="3260" w:type="dxa"/>
          </w:tcPr>
          <w:p w14:paraId="7F73E3E9" w14:textId="3A8E48C1" w:rsidR="00E27759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27" w:tooltip="Ссылка на КонсультантПлюс" w:history="1"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Готовое решение</w:t>
              </w:r>
              <w:proofErr w:type="gramStart"/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по новой форме </w:t>
              </w:r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заполнить и подать уведомление (сообщение) по УСН при отказе от этого </w:t>
              </w:r>
              <w:proofErr w:type="spellStart"/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спецрежима</w:t>
              </w:r>
              <w:proofErr w:type="spellEnd"/>
            </w:hyperlink>
          </w:p>
          <w:p w14:paraId="0931B05C" w14:textId="1A10890E" w:rsidR="00493DEE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  <w:rFonts w:ascii="Arial" w:hAnsi="Arial" w:cs="Arial"/>
                <w:sz w:val="20"/>
                <w:szCs w:val="20"/>
              </w:rPr>
            </w:pPr>
            <w:hyperlink r:id="rId28" w:tooltip="Ссылка на КонсультантПлюс" w:history="1"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Готовое решение: В каком порядке подавать 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по новой форме </w:t>
              </w:r>
              <w:r w:rsidR="00E27759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уведомление о переходе на УСН при создании организации или регистрации ИП</w:t>
              </w:r>
            </w:hyperlink>
          </w:p>
          <w:p w14:paraId="47140EBD" w14:textId="0654A127" w:rsidR="00E27759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29" w:tooltip="Ссылка на КонсультантПлюс" w:history="1">
              <w:r w:rsidR="0006281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Форма: Уведомление (сообщение) о переходе с ОСН на УСН с объектом "доходы минус расходы", заполненное автономным учреждением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, по новой форме</w:t>
              </w:r>
              <w:r w:rsidR="0006281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(Форма по КНД 1154004) (образец заполнения)</w:t>
              </w:r>
            </w:hyperlink>
          </w:p>
          <w:p w14:paraId="48A6A12B" w14:textId="029AC3C2" w:rsidR="00062812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30" w:history="1">
              <w:r w:rsidR="00062812" w:rsidRPr="00062812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Форма: Уведомление (сообщение) о переходе на иной режим налогообложения </w:t>
              </w:r>
              <w:r w:rsidR="00493DEE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по новой форме</w:t>
              </w:r>
              <w:r w:rsidR="00062812" w:rsidRPr="00062812">
                <w:rPr>
                  <w:rStyle w:val="a3"/>
                  <w:rFonts w:ascii="Arial" w:hAnsi="Arial" w:cs="Arial"/>
                  <w:sz w:val="20"/>
                  <w:szCs w:val="20"/>
                </w:rPr>
                <w:t>, заполненное автономным учреждением (Форма по КНД 1154004) (образец заполнения)</w:t>
              </w:r>
            </w:hyperlink>
          </w:p>
        </w:tc>
      </w:tr>
      <w:tr w:rsidR="00062812" w:rsidRPr="000547B9" w14:paraId="794E03B6" w14:textId="77777777" w:rsidTr="002B69D6">
        <w:trPr>
          <w:trHeight w:val="699"/>
        </w:trPr>
        <w:tc>
          <w:tcPr>
            <w:tcW w:w="2689" w:type="dxa"/>
          </w:tcPr>
          <w:p w14:paraId="54B5815F" w14:textId="79A2BE31" w:rsidR="00062812" w:rsidRPr="00062812" w:rsidRDefault="00062812" w:rsidP="00062812">
            <w:pPr>
              <w:spacing w:before="120" w:after="24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062812">
              <w:rPr>
                <w:rFonts w:ascii="Arial" w:hAnsi="Arial" w:cs="Arial"/>
                <w:b/>
                <w:color w:val="7030A0"/>
                <w:sz w:val="20"/>
                <w:szCs w:val="20"/>
              </w:rPr>
              <w:t>Декларация о НВОС</w:t>
            </w:r>
          </w:p>
        </w:tc>
        <w:tc>
          <w:tcPr>
            <w:tcW w:w="4536" w:type="dxa"/>
          </w:tcPr>
          <w:p w14:paraId="5230FAC5" w14:textId="19B29429" w:rsidR="00062812" w:rsidRPr="00062812" w:rsidRDefault="00062812" w:rsidP="003174E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DE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г.</w:t>
            </w:r>
            <w:r w:rsidRPr="00062812">
              <w:rPr>
                <w:rFonts w:ascii="Arial" w:hAnsi="Arial" w:cs="Arial"/>
                <w:sz w:val="20"/>
                <w:szCs w:val="20"/>
              </w:rPr>
              <w:t xml:space="preserve"> изменятся форма и порядок представления декларации о плате за негативное воздействие на окружающую среду. В частности, добавлен раздел о грунтах, признанных отходами</w:t>
            </w:r>
          </w:p>
        </w:tc>
        <w:tc>
          <w:tcPr>
            <w:tcW w:w="3260" w:type="dxa"/>
          </w:tcPr>
          <w:p w14:paraId="44D58BB2" w14:textId="2C7825F4" w:rsidR="00062812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31" w:tooltip="Ссылка на КонсультантПлюс" w:history="1">
              <w:r w:rsidR="0006281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Готовое решение</w:t>
              </w:r>
              <w:proofErr w:type="gramStart"/>
              <w:r w:rsidR="0006281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: Как</w:t>
              </w:r>
              <w:proofErr w:type="gramEnd"/>
              <w:r w:rsidR="0006281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 xml:space="preserve"> заполнить декларацию о плате за негативное воздействие на окружающую среду по новой форме (с 1 сентября 2026 г.)</w:t>
              </w:r>
            </w:hyperlink>
          </w:p>
          <w:p w14:paraId="3C112891" w14:textId="091BDEE1" w:rsidR="00062812" w:rsidRPr="00493DEE" w:rsidRDefault="0014515F" w:rsidP="00493DEE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ind w:left="316"/>
              <w:jc w:val="both"/>
              <w:rPr>
                <w:rStyle w:val="a3"/>
              </w:rPr>
            </w:pPr>
            <w:hyperlink r:id="rId32" w:tooltip="Ссылка на КонсультантПлюс" w:history="1">
              <w:r w:rsidR="00062812" w:rsidRPr="00493DEE">
                <w:rPr>
                  <w:rStyle w:val="a3"/>
                  <w:rFonts w:ascii="Arial" w:hAnsi="Arial" w:cs="Arial"/>
                  <w:sz w:val="20"/>
                  <w:szCs w:val="20"/>
                </w:rPr>
                <w:t>Форма: Декларация о плате за НВОС за 2026 г. по новой форме, заполненная учреждением (образец заполнения)</w:t>
              </w:r>
            </w:hyperlink>
          </w:p>
        </w:tc>
      </w:tr>
    </w:tbl>
    <w:p w14:paraId="1F137606" w14:textId="77777777" w:rsidR="00A23052" w:rsidRDefault="00A23052"/>
    <w:sectPr w:rsidR="00A23052" w:rsidSect="00D420D6">
      <w:headerReference w:type="default" r:id="rId33"/>
      <w:footerReference w:type="even" r:id="rId34"/>
      <w:footerReference w:type="default" r:id="rId35"/>
      <w:pgSz w:w="11906" w:h="16838"/>
      <w:pgMar w:top="719" w:right="720" w:bottom="113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830C1" w14:textId="77777777" w:rsidR="0014515F" w:rsidRDefault="0014515F">
      <w:r>
        <w:separator/>
      </w:r>
    </w:p>
  </w:endnote>
  <w:endnote w:type="continuationSeparator" w:id="0">
    <w:p w14:paraId="71485DEF" w14:textId="77777777" w:rsidR="0014515F" w:rsidRDefault="0014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8B045" w14:textId="77777777" w:rsidR="00090831" w:rsidRDefault="00DB043E" w:rsidP="00D412D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BF0A20" w14:textId="77777777" w:rsidR="00090831" w:rsidRDefault="00090831" w:rsidP="0029283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AEC45" w14:textId="55F8A6A4" w:rsidR="00090831" w:rsidRPr="00D412D6" w:rsidRDefault="00DB043E" w:rsidP="00D412D6">
    <w:pPr>
      <w:pStyle w:val="a4"/>
      <w:framePr w:wrap="around" w:vAnchor="text" w:hAnchor="margin" w:xAlign="right" w:y="1"/>
      <w:jc w:val="center"/>
      <w:rPr>
        <w:rStyle w:val="a6"/>
        <w:rFonts w:ascii="Arial" w:hAnsi="Arial" w:cs="Arial"/>
        <w:color w:val="808080"/>
        <w:sz w:val="20"/>
        <w:szCs w:val="20"/>
      </w:rPr>
    </w:pP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begin"/>
    </w:r>
    <w:r w:rsidRPr="00D412D6">
      <w:rPr>
        <w:rStyle w:val="a6"/>
        <w:rFonts w:ascii="Arial" w:hAnsi="Arial" w:cs="Arial"/>
        <w:color w:val="808080"/>
        <w:sz w:val="20"/>
        <w:szCs w:val="20"/>
      </w:rPr>
      <w:instrText xml:space="preserve">PAGE  </w:instrTex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separate"/>
    </w:r>
    <w:r w:rsidR="00CA6122">
      <w:rPr>
        <w:rStyle w:val="a6"/>
        <w:rFonts w:ascii="Arial" w:hAnsi="Arial" w:cs="Arial"/>
        <w:noProof/>
        <w:color w:val="808080"/>
        <w:sz w:val="20"/>
        <w:szCs w:val="20"/>
      </w:rPr>
      <w:t>3</w: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end"/>
    </w:r>
  </w:p>
  <w:p w14:paraId="5536E27D" w14:textId="35CB7467" w:rsidR="00090831" w:rsidRPr="00E35670" w:rsidRDefault="00DB043E" w:rsidP="0029283D">
    <w:pPr>
      <w:pStyle w:val="a4"/>
      <w:ind w:right="360"/>
      <w:rPr>
        <w:i/>
        <w:color w:val="808080"/>
        <w:sz w:val="18"/>
        <w:szCs w:val="18"/>
        <w:lang w:val="en-US"/>
      </w:rPr>
    </w:pPr>
    <w:r w:rsidRPr="0038387E">
      <w:rPr>
        <w:i/>
        <w:color w:val="808080"/>
        <w:sz w:val="18"/>
        <w:szCs w:val="18"/>
      </w:rPr>
      <w:t xml:space="preserve">Учебный материал. Данные на </w:t>
    </w:r>
    <w:r>
      <w:rPr>
        <w:i/>
        <w:color w:val="808080"/>
        <w:sz w:val="18"/>
        <w:szCs w:val="18"/>
      </w:rPr>
      <w:t>01</w:t>
    </w:r>
    <w:r w:rsidRPr="0038387E">
      <w:rPr>
        <w:i/>
        <w:color w:val="808080"/>
        <w:sz w:val="18"/>
        <w:szCs w:val="18"/>
      </w:rPr>
      <w:t>.</w:t>
    </w:r>
    <w:r>
      <w:rPr>
        <w:i/>
        <w:color w:val="808080"/>
        <w:sz w:val="18"/>
        <w:szCs w:val="18"/>
      </w:rPr>
      <w:t>0</w:t>
    </w:r>
    <w:r w:rsidR="00B37E33">
      <w:rPr>
        <w:i/>
        <w:color w:val="808080"/>
        <w:sz w:val="18"/>
        <w:szCs w:val="18"/>
      </w:rPr>
      <w:t>7</w:t>
    </w:r>
    <w:r>
      <w:rPr>
        <w:i/>
        <w:color w:val="808080"/>
        <w:sz w:val="18"/>
        <w:szCs w:val="18"/>
      </w:rPr>
      <w:t>.202</w:t>
    </w:r>
    <w:r w:rsidR="00E35670">
      <w:rPr>
        <w:i/>
        <w:color w:val="808080"/>
        <w:sz w:val="18"/>
        <w:szCs w:val="18"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EC4D8" w14:textId="77777777" w:rsidR="0014515F" w:rsidRDefault="0014515F">
      <w:r>
        <w:separator/>
      </w:r>
    </w:p>
  </w:footnote>
  <w:footnote w:type="continuationSeparator" w:id="0">
    <w:p w14:paraId="408F3A6A" w14:textId="77777777" w:rsidR="0014515F" w:rsidRDefault="0014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F6600" w14:textId="7C6F2A05" w:rsidR="00090831" w:rsidRPr="0038387E" w:rsidRDefault="00DB043E" w:rsidP="00C1791A">
    <w:pPr>
      <w:pStyle w:val="a7"/>
      <w:spacing w:after="240"/>
      <w:jc w:val="right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Важные изменения в работе </w:t>
    </w:r>
    <w:r>
      <w:rPr>
        <w:i/>
        <w:color w:val="808080"/>
        <w:sz w:val="18"/>
        <w:szCs w:val="18"/>
      </w:rPr>
      <w:t>бюджетного бухгалтера</w:t>
    </w:r>
    <w:r w:rsidRPr="0038387E">
      <w:rPr>
        <w:i/>
        <w:color w:val="808080"/>
        <w:sz w:val="18"/>
        <w:szCs w:val="18"/>
      </w:rPr>
      <w:t xml:space="preserve"> (</w:t>
    </w:r>
    <w:r w:rsidR="00B37E33">
      <w:rPr>
        <w:i/>
        <w:color w:val="808080"/>
        <w:sz w:val="18"/>
        <w:szCs w:val="18"/>
        <w:lang w:val="en-US"/>
      </w:rPr>
      <w:t>I</w:t>
    </w:r>
    <w:r>
      <w:rPr>
        <w:i/>
        <w:color w:val="808080"/>
        <w:sz w:val="18"/>
        <w:szCs w:val="18"/>
        <w:lang w:val="en-US"/>
      </w:rPr>
      <w:t>I</w:t>
    </w:r>
    <w:r>
      <w:rPr>
        <w:i/>
        <w:color w:val="808080"/>
        <w:sz w:val="18"/>
        <w:szCs w:val="18"/>
      </w:rPr>
      <w:t xml:space="preserve"> квартал 202</w:t>
    </w:r>
    <w:r w:rsidR="00D54A19">
      <w:rPr>
        <w:i/>
        <w:color w:val="808080"/>
        <w:sz w:val="18"/>
        <w:szCs w:val="18"/>
      </w:rPr>
      <w:t>6</w:t>
    </w:r>
    <w:r>
      <w:rPr>
        <w:i/>
        <w:color w:val="808080"/>
        <w:sz w:val="18"/>
        <w:szCs w:val="18"/>
      </w:rPr>
      <w:t xml:space="preserve"> г.</w:t>
    </w:r>
    <w:r w:rsidRPr="0038387E">
      <w:rPr>
        <w:i/>
        <w:color w:val="80808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7C01"/>
    <w:multiLevelType w:val="hybridMultilevel"/>
    <w:tmpl w:val="19CAACCE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6092"/>
    <w:multiLevelType w:val="hybridMultilevel"/>
    <w:tmpl w:val="2DA8E7AC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E02"/>
    <w:multiLevelType w:val="hybridMultilevel"/>
    <w:tmpl w:val="BA24A02E"/>
    <w:lvl w:ilvl="0" w:tplc="04D004E2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AC3141"/>
    <w:multiLevelType w:val="hybridMultilevel"/>
    <w:tmpl w:val="A3C06E54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000D9"/>
    <w:multiLevelType w:val="hybridMultilevel"/>
    <w:tmpl w:val="40929AF4"/>
    <w:lvl w:ilvl="0" w:tplc="1C54141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B7025"/>
    <w:multiLevelType w:val="hybridMultilevel"/>
    <w:tmpl w:val="DAE075EA"/>
    <w:lvl w:ilvl="0" w:tplc="24460B8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4DC07F5D"/>
    <w:multiLevelType w:val="hybridMultilevel"/>
    <w:tmpl w:val="E842CDCE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D60CC"/>
    <w:multiLevelType w:val="hybridMultilevel"/>
    <w:tmpl w:val="7FD69E42"/>
    <w:lvl w:ilvl="0" w:tplc="2CCACF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74B2E"/>
    <w:multiLevelType w:val="hybridMultilevel"/>
    <w:tmpl w:val="C87A8596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81772"/>
    <w:multiLevelType w:val="hybridMultilevel"/>
    <w:tmpl w:val="28CA15EC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297"/>
    <w:rsid w:val="0000627F"/>
    <w:rsid w:val="00020118"/>
    <w:rsid w:val="00025712"/>
    <w:rsid w:val="00036697"/>
    <w:rsid w:val="00046120"/>
    <w:rsid w:val="00055757"/>
    <w:rsid w:val="0005588D"/>
    <w:rsid w:val="00061942"/>
    <w:rsid w:val="00062391"/>
    <w:rsid w:val="00062812"/>
    <w:rsid w:val="00085EC1"/>
    <w:rsid w:val="000864EE"/>
    <w:rsid w:val="00090831"/>
    <w:rsid w:val="00090D65"/>
    <w:rsid w:val="00093A4E"/>
    <w:rsid w:val="000974BD"/>
    <w:rsid w:val="000A4D5C"/>
    <w:rsid w:val="000A7AF7"/>
    <w:rsid w:val="000C37D7"/>
    <w:rsid w:val="000C3F23"/>
    <w:rsid w:val="000D5BE6"/>
    <w:rsid w:val="000D79D1"/>
    <w:rsid w:val="000E291D"/>
    <w:rsid w:val="000E2ADD"/>
    <w:rsid w:val="000E5107"/>
    <w:rsid w:val="000F5925"/>
    <w:rsid w:val="00107483"/>
    <w:rsid w:val="0011170A"/>
    <w:rsid w:val="00112552"/>
    <w:rsid w:val="00124B2D"/>
    <w:rsid w:val="001262AD"/>
    <w:rsid w:val="00134DE7"/>
    <w:rsid w:val="00140FD5"/>
    <w:rsid w:val="0014515F"/>
    <w:rsid w:val="001509E4"/>
    <w:rsid w:val="00155E0B"/>
    <w:rsid w:val="00163F1B"/>
    <w:rsid w:val="001645B6"/>
    <w:rsid w:val="00182CB7"/>
    <w:rsid w:val="00183B2B"/>
    <w:rsid w:val="0019131C"/>
    <w:rsid w:val="001B01A8"/>
    <w:rsid w:val="001C42B0"/>
    <w:rsid w:val="001C7CDD"/>
    <w:rsid w:val="001E30DC"/>
    <w:rsid w:val="001E50EE"/>
    <w:rsid w:val="001F4076"/>
    <w:rsid w:val="001F63D1"/>
    <w:rsid w:val="0020082B"/>
    <w:rsid w:val="002037E7"/>
    <w:rsid w:val="00231C70"/>
    <w:rsid w:val="002379ED"/>
    <w:rsid w:val="00240063"/>
    <w:rsid w:val="0024118E"/>
    <w:rsid w:val="00295CE7"/>
    <w:rsid w:val="00296A86"/>
    <w:rsid w:val="002A0725"/>
    <w:rsid w:val="002A7A52"/>
    <w:rsid w:val="002B69D6"/>
    <w:rsid w:val="002C3415"/>
    <w:rsid w:val="002C523B"/>
    <w:rsid w:val="002E6994"/>
    <w:rsid w:val="002E7B5D"/>
    <w:rsid w:val="00305EA7"/>
    <w:rsid w:val="003174ED"/>
    <w:rsid w:val="00317D71"/>
    <w:rsid w:val="00320851"/>
    <w:rsid w:val="0032513F"/>
    <w:rsid w:val="0034048D"/>
    <w:rsid w:val="00341444"/>
    <w:rsid w:val="00343DD9"/>
    <w:rsid w:val="00345EEF"/>
    <w:rsid w:val="00354DE1"/>
    <w:rsid w:val="00356C74"/>
    <w:rsid w:val="003930FC"/>
    <w:rsid w:val="003B173E"/>
    <w:rsid w:val="003B4DAA"/>
    <w:rsid w:val="003C544B"/>
    <w:rsid w:val="003D2772"/>
    <w:rsid w:val="003D7278"/>
    <w:rsid w:val="003E0696"/>
    <w:rsid w:val="003E4FF2"/>
    <w:rsid w:val="003E5776"/>
    <w:rsid w:val="004128A2"/>
    <w:rsid w:val="00415E52"/>
    <w:rsid w:val="00423F26"/>
    <w:rsid w:val="004270B8"/>
    <w:rsid w:val="00436D71"/>
    <w:rsid w:val="0045493A"/>
    <w:rsid w:val="004676E0"/>
    <w:rsid w:val="00467F36"/>
    <w:rsid w:val="004717BF"/>
    <w:rsid w:val="004745E1"/>
    <w:rsid w:val="004769CB"/>
    <w:rsid w:val="00493DEE"/>
    <w:rsid w:val="004A2A6C"/>
    <w:rsid w:val="004A6965"/>
    <w:rsid w:val="004A6982"/>
    <w:rsid w:val="004B7F9C"/>
    <w:rsid w:val="004C424B"/>
    <w:rsid w:val="004E6AE9"/>
    <w:rsid w:val="004E7CF0"/>
    <w:rsid w:val="004F22EC"/>
    <w:rsid w:val="004F6EDD"/>
    <w:rsid w:val="00521252"/>
    <w:rsid w:val="00523169"/>
    <w:rsid w:val="00527C91"/>
    <w:rsid w:val="00546983"/>
    <w:rsid w:val="00561078"/>
    <w:rsid w:val="005671BB"/>
    <w:rsid w:val="005733DD"/>
    <w:rsid w:val="0058061A"/>
    <w:rsid w:val="00582972"/>
    <w:rsid w:val="005C4A54"/>
    <w:rsid w:val="005D5A2B"/>
    <w:rsid w:val="005E395B"/>
    <w:rsid w:val="005E5489"/>
    <w:rsid w:val="005F3E51"/>
    <w:rsid w:val="005F4F4D"/>
    <w:rsid w:val="00600276"/>
    <w:rsid w:val="006059B3"/>
    <w:rsid w:val="00620625"/>
    <w:rsid w:val="006218B7"/>
    <w:rsid w:val="00627D89"/>
    <w:rsid w:val="00631D05"/>
    <w:rsid w:val="0063209E"/>
    <w:rsid w:val="00641615"/>
    <w:rsid w:val="0064297B"/>
    <w:rsid w:val="0065576B"/>
    <w:rsid w:val="00663B23"/>
    <w:rsid w:val="00682A4A"/>
    <w:rsid w:val="00687A3B"/>
    <w:rsid w:val="00697035"/>
    <w:rsid w:val="006B6896"/>
    <w:rsid w:val="006C0D2C"/>
    <w:rsid w:val="006C5804"/>
    <w:rsid w:val="006D3085"/>
    <w:rsid w:val="006D49AA"/>
    <w:rsid w:val="006F1D7E"/>
    <w:rsid w:val="006F3AA7"/>
    <w:rsid w:val="006F7394"/>
    <w:rsid w:val="00705866"/>
    <w:rsid w:val="0071263F"/>
    <w:rsid w:val="00712EB5"/>
    <w:rsid w:val="007153EC"/>
    <w:rsid w:val="0072255B"/>
    <w:rsid w:val="00736489"/>
    <w:rsid w:val="00750DE9"/>
    <w:rsid w:val="00763C8A"/>
    <w:rsid w:val="00787676"/>
    <w:rsid w:val="00794E29"/>
    <w:rsid w:val="007B1183"/>
    <w:rsid w:val="007B4FEE"/>
    <w:rsid w:val="007C75DF"/>
    <w:rsid w:val="007D080B"/>
    <w:rsid w:val="007E02B7"/>
    <w:rsid w:val="007F52A9"/>
    <w:rsid w:val="007F68ED"/>
    <w:rsid w:val="00807048"/>
    <w:rsid w:val="008222B0"/>
    <w:rsid w:val="00845441"/>
    <w:rsid w:val="008501B0"/>
    <w:rsid w:val="00857619"/>
    <w:rsid w:val="00857E83"/>
    <w:rsid w:val="00860344"/>
    <w:rsid w:val="00870938"/>
    <w:rsid w:val="00876333"/>
    <w:rsid w:val="00880DF0"/>
    <w:rsid w:val="0088300E"/>
    <w:rsid w:val="008A772B"/>
    <w:rsid w:val="008B4663"/>
    <w:rsid w:val="008B4A0F"/>
    <w:rsid w:val="008C1BBA"/>
    <w:rsid w:val="008D77AB"/>
    <w:rsid w:val="008E0BC7"/>
    <w:rsid w:val="008F0332"/>
    <w:rsid w:val="00905FE5"/>
    <w:rsid w:val="009119CF"/>
    <w:rsid w:val="00916CD2"/>
    <w:rsid w:val="0092201D"/>
    <w:rsid w:val="00927E49"/>
    <w:rsid w:val="0093766F"/>
    <w:rsid w:val="00940F8E"/>
    <w:rsid w:val="00941210"/>
    <w:rsid w:val="00971DFC"/>
    <w:rsid w:val="009736C1"/>
    <w:rsid w:val="00976F83"/>
    <w:rsid w:val="00981856"/>
    <w:rsid w:val="00984F25"/>
    <w:rsid w:val="0098654E"/>
    <w:rsid w:val="009868AE"/>
    <w:rsid w:val="00986DB5"/>
    <w:rsid w:val="009C2AE0"/>
    <w:rsid w:val="009E44E7"/>
    <w:rsid w:val="009F39A9"/>
    <w:rsid w:val="009F4297"/>
    <w:rsid w:val="009F4847"/>
    <w:rsid w:val="009F4E7A"/>
    <w:rsid w:val="009F56E1"/>
    <w:rsid w:val="00A0552C"/>
    <w:rsid w:val="00A07732"/>
    <w:rsid w:val="00A077F8"/>
    <w:rsid w:val="00A07A72"/>
    <w:rsid w:val="00A22062"/>
    <w:rsid w:val="00A23052"/>
    <w:rsid w:val="00A27186"/>
    <w:rsid w:val="00A55F5F"/>
    <w:rsid w:val="00A618E2"/>
    <w:rsid w:val="00A62252"/>
    <w:rsid w:val="00A9275E"/>
    <w:rsid w:val="00AA6F77"/>
    <w:rsid w:val="00AB1097"/>
    <w:rsid w:val="00AB229C"/>
    <w:rsid w:val="00AB63A5"/>
    <w:rsid w:val="00AD7D8C"/>
    <w:rsid w:val="00AD7F16"/>
    <w:rsid w:val="00AF1178"/>
    <w:rsid w:val="00B06256"/>
    <w:rsid w:val="00B06424"/>
    <w:rsid w:val="00B1155B"/>
    <w:rsid w:val="00B14422"/>
    <w:rsid w:val="00B162AF"/>
    <w:rsid w:val="00B166D5"/>
    <w:rsid w:val="00B20A75"/>
    <w:rsid w:val="00B20BF9"/>
    <w:rsid w:val="00B26E08"/>
    <w:rsid w:val="00B3581E"/>
    <w:rsid w:val="00B35E43"/>
    <w:rsid w:val="00B3718E"/>
    <w:rsid w:val="00B37E33"/>
    <w:rsid w:val="00B60AAF"/>
    <w:rsid w:val="00B61DE8"/>
    <w:rsid w:val="00B658B6"/>
    <w:rsid w:val="00B72A83"/>
    <w:rsid w:val="00B837DF"/>
    <w:rsid w:val="00B86990"/>
    <w:rsid w:val="00B94110"/>
    <w:rsid w:val="00BA1014"/>
    <w:rsid w:val="00BA1CB8"/>
    <w:rsid w:val="00BA79F8"/>
    <w:rsid w:val="00BA7BAA"/>
    <w:rsid w:val="00BB57B6"/>
    <w:rsid w:val="00BC7768"/>
    <w:rsid w:val="00BD6B0F"/>
    <w:rsid w:val="00BF383D"/>
    <w:rsid w:val="00C02296"/>
    <w:rsid w:val="00C131A3"/>
    <w:rsid w:val="00C26265"/>
    <w:rsid w:val="00C371FC"/>
    <w:rsid w:val="00C41B19"/>
    <w:rsid w:val="00C4432E"/>
    <w:rsid w:val="00C46EE3"/>
    <w:rsid w:val="00C51E2A"/>
    <w:rsid w:val="00C52BE4"/>
    <w:rsid w:val="00C66F59"/>
    <w:rsid w:val="00C72FCD"/>
    <w:rsid w:val="00C8730F"/>
    <w:rsid w:val="00C96FDE"/>
    <w:rsid w:val="00CA1663"/>
    <w:rsid w:val="00CA6122"/>
    <w:rsid w:val="00CC550F"/>
    <w:rsid w:val="00CD13F3"/>
    <w:rsid w:val="00CE0A2C"/>
    <w:rsid w:val="00CE52CF"/>
    <w:rsid w:val="00CF105F"/>
    <w:rsid w:val="00CF6D38"/>
    <w:rsid w:val="00CF713E"/>
    <w:rsid w:val="00D01ADD"/>
    <w:rsid w:val="00D11599"/>
    <w:rsid w:val="00D2662D"/>
    <w:rsid w:val="00D32EFB"/>
    <w:rsid w:val="00D37DB8"/>
    <w:rsid w:val="00D46CC1"/>
    <w:rsid w:val="00D47264"/>
    <w:rsid w:val="00D546E9"/>
    <w:rsid w:val="00D54A19"/>
    <w:rsid w:val="00D568EC"/>
    <w:rsid w:val="00DB043E"/>
    <w:rsid w:val="00DC11C8"/>
    <w:rsid w:val="00DF19BD"/>
    <w:rsid w:val="00DF4BA2"/>
    <w:rsid w:val="00E257A2"/>
    <w:rsid w:val="00E27759"/>
    <w:rsid w:val="00E35670"/>
    <w:rsid w:val="00E62AB1"/>
    <w:rsid w:val="00E66D01"/>
    <w:rsid w:val="00E674B9"/>
    <w:rsid w:val="00E73D08"/>
    <w:rsid w:val="00E80F1C"/>
    <w:rsid w:val="00E90DB7"/>
    <w:rsid w:val="00EA0440"/>
    <w:rsid w:val="00EB157C"/>
    <w:rsid w:val="00EB31F2"/>
    <w:rsid w:val="00EC2A1E"/>
    <w:rsid w:val="00ED2296"/>
    <w:rsid w:val="00EE7333"/>
    <w:rsid w:val="00EF318E"/>
    <w:rsid w:val="00F00EE0"/>
    <w:rsid w:val="00F04268"/>
    <w:rsid w:val="00F06578"/>
    <w:rsid w:val="00F15F68"/>
    <w:rsid w:val="00F17F14"/>
    <w:rsid w:val="00F27BC2"/>
    <w:rsid w:val="00F60969"/>
    <w:rsid w:val="00F61701"/>
    <w:rsid w:val="00F652B6"/>
    <w:rsid w:val="00F75165"/>
    <w:rsid w:val="00F94E7C"/>
    <w:rsid w:val="00FA55AA"/>
    <w:rsid w:val="00FB0AB1"/>
    <w:rsid w:val="00FC4663"/>
    <w:rsid w:val="00FC54F6"/>
    <w:rsid w:val="00FE2A10"/>
    <w:rsid w:val="00FF02BC"/>
    <w:rsid w:val="00F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0556F"/>
  <w15:chartTrackingRefBased/>
  <w15:docId w15:val="{BD2D7E56-5249-4EFF-8843-16BFC1EC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F4297"/>
    <w:rPr>
      <w:color w:val="0000FF"/>
      <w:u w:val="single"/>
    </w:rPr>
  </w:style>
  <w:style w:type="paragraph" w:styleId="a4">
    <w:name w:val="footer"/>
    <w:basedOn w:val="a"/>
    <w:link w:val="a5"/>
    <w:rsid w:val="009F429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F42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F4297"/>
  </w:style>
  <w:style w:type="paragraph" w:styleId="a7">
    <w:name w:val="header"/>
    <w:basedOn w:val="a"/>
    <w:link w:val="a8"/>
    <w:rsid w:val="009F42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F4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F4297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F429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F429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F42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F7394"/>
    <w:rPr>
      <w:color w:val="605E5C"/>
      <w:shd w:val="clear" w:color="auto" w:fill="E1DFDD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062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062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00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0627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627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FollowedHyperlink"/>
    <w:basedOn w:val="a0"/>
    <w:uiPriority w:val="99"/>
    <w:semiHidden/>
    <w:unhideWhenUsed/>
    <w:rsid w:val="000D5BE6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B0AB1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41210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CA1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3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IVBS&amp;n=31&amp;dst=100556" TargetMode="External"/><Relationship Id="rId13" Type="http://schemas.openxmlformats.org/officeDocument/2006/relationships/hyperlink" Target="https://login.consultant.ru/link/?req=doc&amp;base=IVBS&amp;n=35&amp;dst=100422" TargetMode="External"/><Relationship Id="rId18" Type="http://schemas.openxmlformats.org/officeDocument/2006/relationships/hyperlink" Target="https://login.consultant.ru/link/?req=doc&amp;base=PKBO&amp;n=67419&amp;dst=100001" TargetMode="External"/><Relationship Id="rId26" Type="http://schemas.openxmlformats.org/officeDocument/2006/relationships/hyperlink" Target="https://login.consultant.ru/link/?req=doc&amp;base=PKBO&amp;n=68601&amp;dst=1000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PKBO&amp;n=69314" TargetMode="External"/><Relationship Id="rId34" Type="http://schemas.openxmlformats.org/officeDocument/2006/relationships/footer" Target="footer1.xml"/><Relationship Id="rId7" Type="http://schemas.openxmlformats.org/officeDocument/2006/relationships/hyperlink" Target="https://login.consultant.ru/link/?req=doc&amp;base=IVBS&amp;n=4&amp;dst=100173" TargetMode="External"/><Relationship Id="rId12" Type="http://schemas.openxmlformats.org/officeDocument/2006/relationships/hyperlink" Target="https://login.consultant.ru/link/?req=doc&amp;base=PKBO&amp;n=65463&amp;dst=100014" TargetMode="External"/><Relationship Id="rId17" Type="http://schemas.openxmlformats.org/officeDocument/2006/relationships/hyperlink" Target="https://login.consultant.ru/link/?req=doc&amp;base=PKBO&amp;n=68981" TargetMode="External"/><Relationship Id="rId25" Type="http://schemas.openxmlformats.org/officeDocument/2006/relationships/hyperlink" Target="https://login.consultant.ru/link/?req=doc&amp;base=IPNVBO&amp;n=41&amp;dst=100471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KBO&amp;n=66292&amp;dst=100001" TargetMode="External"/><Relationship Id="rId20" Type="http://schemas.openxmlformats.org/officeDocument/2006/relationships/hyperlink" Target="https://login.consultant.ru/link/?req=doc&amp;base=PKBO&amp;n=69291&amp;dst=100012" TargetMode="External"/><Relationship Id="rId29" Type="http://schemas.openxmlformats.org/officeDocument/2006/relationships/hyperlink" Target="https://login.consultant.ru/link/?req=doc&amp;base=PAP&amp;n=956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IVBS&amp;n=58&amp;dst=100894" TargetMode="External"/><Relationship Id="rId24" Type="http://schemas.openxmlformats.org/officeDocument/2006/relationships/hyperlink" Target="https://login.consultant.ru/link/?req=doc&amp;base=PBI&amp;n=357437&amp;dst=100001" TargetMode="External"/><Relationship Id="rId32" Type="http://schemas.openxmlformats.org/officeDocument/2006/relationships/hyperlink" Target="https://login.consultant.ru/link/?req=doc&amp;base=PAP&amp;n=95559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PKBO&amp;n=67523&amp;dst=100001" TargetMode="External"/><Relationship Id="rId23" Type="http://schemas.openxmlformats.org/officeDocument/2006/relationships/hyperlink" Target="https://login.consultant.ru/link/?req=doc&amp;base=PBI&amp;n=357730&amp;dst=100001" TargetMode="External"/><Relationship Id="rId28" Type="http://schemas.openxmlformats.org/officeDocument/2006/relationships/hyperlink" Target="https://login.consultant.ru/link/?req=doc&amp;base=PKBO&amp;n=6922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PKBO&amp;n=37358&amp;dst=100001" TargetMode="External"/><Relationship Id="rId19" Type="http://schemas.openxmlformats.org/officeDocument/2006/relationships/hyperlink" Target="https://login.consultant.ru/link/?req=doc&amp;base=IPNVBO&amp;n=30&amp;dst=100088" TargetMode="External"/><Relationship Id="rId31" Type="http://schemas.openxmlformats.org/officeDocument/2006/relationships/hyperlink" Target="https://login.consultant.ru/link/?req=doc&amp;base=PKBO&amp;n=689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UGMI&amp;n=23&amp;dst=100432" TargetMode="External"/><Relationship Id="rId14" Type="http://schemas.openxmlformats.org/officeDocument/2006/relationships/hyperlink" Target="https://login.consultant.ru/link/?req=doc&amp;base=PKBO&amp;n=67506&amp;dst=100001" TargetMode="External"/><Relationship Id="rId22" Type="http://schemas.openxmlformats.org/officeDocument/2006/relationships/hyperlink" Target="https://login.consultant.ru/link/?req=doc&amp;base=PKBO&amp;n=67747" TargetMode="External"/><Relationship Id="rId27" Type="http://schemas.openxmlformats.org/officeDocument/2006/relationships/hyperlink" Target="https://login.consultant.ru/link/?req=doc&amp;base=PKBO&amp;n=69225" TargetMode="External"/><Relationship Id="rId30" Type="http://schemas.openxmlformats.org/officeDocument/2006/relationships/hyperlink" Target="https://login.consultant.ru/link/?req=doc&amp;base=PAP&amp;n=95683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Мишукова Влада Владимировна</dc:creator>
  <cp:keywords/>
  <dc:description/>
  <cp:lastModifiedBy>Безуменко Оксана Геннадьевна</cp:lastModifiedBy>
  <cp:revision>3</cp:revision>
  <dcterms:created xsi:type="dcterms:W3CDTF">2026-07-22T08:33:00Z</dcterms:created>
  <dcterms:modified xsi:type="dcterms:W3CDTF">2026-07-22T08:33:00Z</dcterms:modified>
</cp:coreProperties>
</file>